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bookmarkStart w:colFirst="0" w:colLast="0" w:name="_heading=h.4gubegnm9p3x" w:id="0"/>
      <w:bookmarkEnd w:id="0"/>
      <w:r w:rsidDel="00000000" w:rsidR="00000000" w:rsidRPr="00000000">
        <w:rPr>
          <w:rFonts w:ascii="Calibri" w:cs="Calibri" w:eastAsia="Calibri" w:hAnsi="Calibri"/>
          <w:b w:val="1"/>
          <w:rtl w:val="0"/>
        </w:rPr>
        <w:t xml:space="preserve">ESPECIFICAÇÕES DO PREGÃO ELETRÔNICO 115-2022</w:t>
      </w:r>
    </w:p>
    <w:p w:rsidR="00000000" w:rsidDel="00000000" w:rsidP="00000000" w:rsidRDefault="00000000" w:rsidRPr="00000000" w14:paraId="00000002">
      <w:pPr>
        <w:jc w:val="center"/>
        <w:rPr>
          <w:rFonts w:ascii="Calibri" w:cs="Calibri" w:eastAsia="Calibri" w:hAnsi="Calibri"/>
          <w:b w:val="1"/>
        </w:rPr>
      </w:pPr>
      <w:bookmarkStart w:colFirst="0" w:colLast="0" w:name="_heading=h.26i8xf5wtm3y" w:id="1"/>
      <w:bookmarkEnd w:id="1"/>
      <w:r w:rsidDel="00000000" w:rsidR="00000000" w:rsidRPr="00000000">
        <w:rPr>
          <w:rtl w:val="0"/>
        </w:rPr>
      </w:r>
    </w:p>
    <w:tbl>
      <w:tblPr>
        <w:tblStyle w:val="Table1"/>
        <w:tblW w:w="10485.0" w:type="dxa"/>
        <w:jc w:val="left"/>
        <w:tblInd w:w="-2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585"/>
        <w:gridCol w:w="1065"/>
        <w:gridCol w:w="8280"/>
        <w:tblGridChange w:id="0">
          <w:tblGrid>
            <w:gridCol w:w="555"/>
            <w:gridCol w:w="585"/>
            <w:gridCol w:w="1065"/>
            <w:gridCol w:w="8280"/>
          </w:tblGrid>
        </w:tblGridChange>
      </w:tblGrid>
      <w:tr>
        <w:trPr>
          <w:cantSplit w:val="0"/>
          <w:trHeight w:val="399" w:hRule="atLeast"/>
          <w:tblHeader w:val="0"/>
        </w:trPr>
        <w:tc>
          <w:tcPr>
            <w:vAlign w:val="center"/>
          </w:tcPr>
          <w:p w:rsidR="00000000" w:rsidDel="00000000" w:rsidP="00000000" w:rsidRDefault="00000000" w:rsidRPr="00000000" w14:paraId="00000003">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004">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w:t>
            </w:r>
            <w:r w:rsidDel="00000000" w:rsidR="00000000" w:rsidRPr="00000000">
              <w:rPr>
                <w:rtl w:val="0"/>
              </w:rPr>
            </w:r>
          </w:p>
        </w:tc>
        <w:tc>
          <w:tcPr>
            <w:vAlign w:val="center"/>
          </w:tcPr>
          <w:p w:rsidR="00000000" w:rsidDel="00000000" w:rsidP="00000000" w:rsidRDefault="00000000" w:rsidRPr="00000000" w14:paraId="0000000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COMPRAS.GOV</w:t>
            </w:r>
          </w:p>
        </w:tc>
        <w:tc>
          <w:tcPr>
            <w:vAlign w:val="center"/>
          </w:tcPr>
          <w:p w:rsidR="00000000" w:rsidDel="00000000" w:rsidP="00000000" w:rsidRDefault="00000000" w:rsidRPr="00000000" w14:paraId="00000006">
            <w:pPr>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Especificação</w:t>
            </w:r>
            <w:r w:rsidDel="00000000" w:rsidR="00000000" w:rsidRPr="00000000">
              <w:rPr>
                <w:rtl w:val="0"/>
              </w:rPr>
            </w:r>
          </w:p>
        </w:tc>
      </w:tr>
      <w:tr>
        <w:trPr>
          <w:cantSplit w:val="0"/>
          <w:trHeight w:val="254" w:hRule="atLeast"/>
          <w:tblHeader w:val="0"/>
        </w:trPr>
        <w:tc>
          <w:tcPr>
            <w:vAlign w:val="center"/>
          </w:tcPr>
          <w:p w:rsidR="00000000" w:rsidDel="00000000" w:rsidP="00000000" w:rsidRDefault="00000000" w:rsidRPr="00000000" w14:paraId="0000000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vAlign w:val="center"/>
          </w:tcPr>
          <w:p w:rsidR="00000000" w:rsidDel="00000000" w:rsidP="00000000" w:rsidRDefault="00000000" w:rsidRPr="00000000" w14:paraId="0000000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vAlign w:val="center"/>
          </w:tcPr>
          <w:p w:rsidR="00000000" w:rsidDel="00000000" w:rsidP="00000000" w:rsidRDefault="00000000" w:rsidRPr="00000000" w14:paraId="0000000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tc>
          <w:tcPr>
            <w:vAlign w:val="center"/>
          </w:tcPr>
          <w:p w:rsidR="00000000" w:rsidDel="00000000" w:rsidP="00000000" w:rsidRDefault="00000000" w:rsidRPr="00000000" w14:paraId="0000000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CONJUNTO ESCOLAR CJA 03 AMARELO – PADRÃO FNDE, Mesa: Laterais e suporte do porta livros confeccionados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amarelo,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amarela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grafado com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590mm. </w:t>
            </w:r>
          </w:p>
          <w:p w:rsidR="00000000" w:rsidDel="00000000" w:rsidP="00000000" w:rsidRDefault="00000000" w:rsidRPr="00000000" w14:paraId="0000000B">
            <w:pPr>
              <w:numPr>
                <w:ilvl w:val="0"/>
                <w:numId w:val="2"/>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o Certificado de Cadeia de Custódia para produtos de madeira (FSC), emitido por certificador reconhecido nacional ou internacionalmente em nome do fabricante do mobiliário, e o Relatório de ensaio emitido por laboratório credenciado pelo INMETRO, do esforço de tração de 12000kgf na região da solda. </w:t>
            </w:r>
          </w:p>
          <w:p w:rsidR="00000000" w:rsidDel="00000000" w:rsidP="00000000" w:rsidRDefault="00000000" w:rsidRPr="00000000" w14:paraId="0000000C">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Cadeira: Estrutura em tubo de aço 20,7mm, em chapa 14(1,90mm). Ponteiras, sapatas, assento e encosto em polipropileno copolímero virgem, injetados na cor amarelo,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 (400x310mm) e encosto (396x198mm) em polipropileno copolímero virgem e sem cargas, injetados, moldados anatomicamente, pigmentados na cor amarelo.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350mm.</w:t>
            </w:r>
          </w:p>
        </w:tc>
      </w:tr>
      <w:tr>
        <w:trPr>
          <w:cantSplit w:val="0"/>
          <w:trHeight w:val="254" w:hRule="atLeast"/>
          <w:tblHeader w:val="0"/>
        </w:trPr>
        <w:tc>
          <w:tcPr>
            <w:vAlign w:val="center"/>
          </w:tcPr>
          <w:p w:rsidR="00000000" w:rsidDel="00000000" w:rsidP="00000000" w:rsidRDefault="00000000" w:rsidRPr="00000000" w14:paraId="0000000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vAlign w:val="center"/>
          </w:tcPr>
          <w:p w:rsidR="00000000" w:rsidDel="00000000" w:rsidP="00000000" w:rsidRDefault="00000000" w:rsidRPr="00000000" w14:paraId="0000000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tcBorders>
              <w:bottom w:color="000000" w:space="0" w:sz="6" w:val="single"/>
            </w:tcBorders>
            <w:vAlign w:val="center"/>
          </w:tcPr>
          <w:p w:rsidR="00000000" w:rsidDel="00000000" w:rsidP="00000000" w:rsidRDefault="00000000" w:rsidRPr="00000000" w14:paraId="0000000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2-4</w:t>
            </w:r>
          </w:p>
        </w:tc>
        <w:tc>
          <w:tcPr>
            <w:vAlign w:val="center"/>
          </w:tcPr>
          <w:p w:rsidR="00000000" w:rsidDel="00000000" w:rsidP="00000000" w:rsidRDefault="00000000" w:rsidRPr="00000000" w14:paraId="00000010">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CONJUNTO ESCOLAR CJA 04 VERMELHO – PADRÃO FNDE, Mesa: Laterais e suporte do porta livros confeccionados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vermelha,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vermelha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grafado com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640mm. </w:t>
            </w:r>
          </w:p>
          <w:p w:rsidR="00000000" w:rsidDel="00000000" w:rsidP="00000000" w:rsidRDefault="00000000" w:rsidRPr="00000000" w14:paraId="00000011">
            <w:pPr>
              <w:numPr>
                <w:ilvl w:val="0"/>
                <w:numId w:val="2"/>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o Certificado de Cadeia de Custódia para produtos de madeira (FSC), emitido por certificador reconhecido nacional ou internacionalmente em nome do fabricante do mobiliário, e o Relatório de ensaio emitido por laboratório credenciado pelo INMETRO, do esforço de tração de 12000kgf na região da solda. </w:t>
            </w:r>
          </w:p>
          <w:p w:rsidR="00000000" w:rsidDel="00000000" w:rsidP="00000000" w:rsidRDefault="00000000" w:rsidRPr="00000000" w14:paraId="0000001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Cadeira: Estrutura em tubo de aço 20,7mm, em chapa 14(1,90mm). Ponteiras, sapatas, assento e encosto em polipropileno copolímero virgem, injetados na cor vermelha,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 (400x350mm) e encosto (396x198mm) em polipropileno copolímero virgem e sem cargas, injetados, moldados anatomicamente, pigmentados na cor vermelho.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380mm.</w:t>
            </w:r>
          </w:p>
        </w:tc>
      </w:tr>
      <w:tr>
        <w:trPr>
          <w:cantSplit w:val="0"/>
          <w:trHeight w:val="254" w:hRule="atLeast"/>
          <w:tblHeader w:val="0"/>
        </w:trPr>
        <w:tc>
          <w:tcPr>
            <w:vAlign w:val="center"/>
          </w:tcPr>
          <w:p w:rsidR="00000000" w:rsidDel="00000000" w:rsidP="00000000" w:rsidRDefault="00000000" w:rsidRPr="00000000" w14:paraId="0000001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vAlign w:val="center"/>
          </w:tcPr>
          <w:p w:rsidR="00000000" w:rsidDel="00000000" w:rsidP="00000000" w:rsidRDefault="00000000" w:rsidRPr="00000000" w14:paraId="0000001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5">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w:t>
            </w:r>
          </w:p>
        </w:tc>
        <w:tc>
          <w:tcPr>
            <w:vAlign w:val="center"/>
          </w:tcPr>
          <w:p w:rsidR="00000000" w:rsidDel="00000000" w:rsidP="00000000" w:rsidRDefault="00000000" w:rsidRPr="00000000" w14:paraId="00000016">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CONJUNTO ESCOLAR CJA 05 VERDE – PADRÃO FNDE, Mesa: Laterais e suporte do porta livros confeccionados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verde,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verde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grafado com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710mm. </w:t>
            </w:r>
          </w:p>
          <w:p w:rsidR="00000000" w:rsidDel="00000000" w:rsidP="00000000" w:rsidRDefault="00000000" w:rsidRPr="00000000" w14:paraId="00000017">
            <w:pPr>
              <w:numPr>
                <w:ilvl w:val="0"/>
                <w:numId w:val="2"/>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o Certificado de Cadeia de Custódia para produtos de madeira (FSC), emitido por certificador reconhecido nacional ou internacionalmente em nome do fabricante do mobiliário, e o Relatório de ensaio emitido por laboratório credenciado pelo INMETRO, do esforço de tração de 12000kgf na região da solda. </w:t>
            </w:r>
          </w:p>
          <w:p w:rsidR="00000000" w:rsidDel="00000000" w:rsidP="00000000" w:rsidRDefault="00000000" w:rsidRPr="00000000" w14:paraId="0000001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Cadeira: Estrutura em tubo de aço 20,7mm, em chapa 14(1,90mm). Ponteiras, sapatas, assento e encosto em polipropileno copolímero virgem, injetados na cor verde,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 (400x390mm) e encosto (396x198mm) em polipropileno copolímero virgem e sem cargas, injetados, moldados anatomicamente, pigmentados na cor verde.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430mm.</w:t>
            </w:r>
          </w:p>
        </w:tc>
      </w:tr>
      <w:tr>
        <w:trPr>
          <w:cantSplit w:val="0"/>
          <w:trHeight w:val="254" w:hRule="atLeast"/>
          <w:tblHeader w:val="0"/>
        </w:trPr>
        <w:tc>
          <w:tcPr>
            <w:vAlign w:val="center"/>
          </w:tcPr>
          <w:p w:rsidR="00000000" w:rsidDel="00000000" w:rsidP="00000000" w:rsidRDefault="00000000" w:rsidRPr="00000000" w14:paraId="0000001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vAlign w:val="center"/>
          </w:tcPr>
          <w:p w:rsidR="00000000" w:rsidDel="00000000" w:rsidP="00000000" w:rsidRDefault="00000000" w:rsidRPr="00000000" w14:paraId="0000001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B">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c>
          <w:tcPr>
            <w:vAlign w:val="center"/>
          </w:tcPr>
          <w:p w:rsidR="00000000" w:rsidDel="00000000" w:rsidP="00000000" w:rsidRDefault="00000000" w:rsidRPr="00000000" w14:paraId="0000001C">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CONJUNTO ESCOLAR CJA 06 AZUL – PADRÃO FNDE, Mesa: Laterais e suporte do porta livros confeccionado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azul,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azul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gravado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760mm. </w:t>
            </w:r>
          </w:p>
          <w:p w:rsidR="00000000" w:rsidDel="00000000" w:rsidP="00000000" w:rsidRDefault="00000000" w:rsidRPr="00000000" w14:paraId="0000001D">
            <w:pPr>
              <w:numPr>
                <w:ilvl w:val="0"/>
                <w:numId w:val="2"/>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o Certificado de Cadeia de Custódia para produtos de madeira (FSC), emitido por certificador reconhecido nacional ou internacionalmente em nome do fabricante do mobiliário, e o Relatório de ensaio emitido por laboratório credenciado pelo INMETRO, do esforço de tração de 12000kgf na região da solda. </w:t>
            </w:r>
          </w:p>
          <w:p w:rsidR="00000000" w:rsidDel="00000000" w:rsidP="00000000" w:rsidRDefault="00000000" w:rsidRPr="00000000" w14:paraId="0000001E">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Cadeira: Estrutura em tubo de aço 20,7mm, em chapa 14(1,90mm). Ponteiras e sapatas em polipropileno copolímero virgem, injetados na cor azul,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cor cinza. Assento (400x430mm) e encosto(396x198mm) em polipropileno copolímero virgem e sem cargas, injetados, moldados anatomicamente, pigmentados na cor azul. Fixação do assento e encosto à estrutura através de rebites de repuxo 4,8mm, comprimento 12mm.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460mm. </w:t>
            </w:r>
          </w:p>
        </w:tc>
      </w:tr>
      <w:tr>
        <w:trPr>
          <w:cantSplit w:val="0"/>
          <w:trHeight w:val="254" w:hRule="atLeast"/>
          <w:tblHeader w:val="0"/>
        </w:trPr>
        <w:tc>
          <w:tcPr>
            <w:vAlign w:val="center"/>
          </w:tcPr>
          <w:p w:rsidR="00000000" w:rsidDel="00000000" w:rsidP="00000000" w:rsidRDefault="00000000" w:rsidRPr="00000000" w14:paraId="0000001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vAlign w:val="center"/>
          </w:tcPr>
          <w:p w:rsidR="00000000" w:rsidDel="00000000" w:rsidP="00000000" w:rsidRDefault="00000000" w:rsidRPr="00000000" w14:paraId="0000002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w:t>
            </w:r>
          </w:p>
        </w:tc>
        <w:tc>
          <w:tcPr>
            <w:vAlign w:val="center"/>
          </w:tcPr>
          <w:p w:rsidR="00000000" w:rsidDel="00000000" w:rsidP="00000000" w:rsidRDefault="00000000" w:rsidRPr="00000000" w14:paraId="0000002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CONJUNTO ESCOLAR CJR 03 AMARELO – PADRÃO FNDE, CONJUNTO REFEITÓRIO INFANTIL, COMPOSTO POR UMA MESA E QUATRO CADEIRAS: Mesa: estrutura com pés em tubo de aço 1 1/2" em chapa 16 (1,5mm). Travessa longitudinal em tubo de aço 40x40mm em chapa 16 (1,5mm). Travessas transversais em tubo de secção retangular 20x50mm em chapa 16 (1,5mm). Suportes estruturais e de fixação do tampo em chapa de aço espessura de 3mm. Aletas de fixação do tampo em chapa de aço 14 (1,9mm). Fixação do tampo à estruturas através de 02 parafusos 4.5x50 FH chato dourado e parafusos para aglomerado, de 4,5mm x 22mm, cabeça panela, fenda Phillips, bicromatizados. Ponteiras e sapatas em polipropileno copolímero virgem e sem cargas, injetadas na cor amarela fixadas à estrutura através de encaixe. Tampo(1200x600mm) em madeira aglomerada (MDP) espessura de 25mm, revestido na face superior em laminado melamínico de alta pressão, 0,8mm de espessura, acabamento frost, na cor branca. Revestimento na face inferior em laminado melamínico de baixa pressão - BP, acabamento frost, na cor branca. Topos transversais e longitudinais encabeçados com fita de bordo em PVC com primer, 29mm (largura) x 3mm (espessura), na cor amarela coladas com adesivo "Hot Melting". Altura 590mm. Cadeiras: Estrutura em tubo de aço 20,7mm, em chapa 14(1,90mm). Ponteiras, sapatas, assento e encosto em polipropileno copolímero virgem, injetados na cor amarelo,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 (400x310mm) e encosto (396x198mm) em polipropileno copolímero virgem e sem cargas, injetados, moldados anatomicamente, pigmentados na cor amarelo.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w:t>
            </w:r>
          </w:p>
          <w:p w:rsidR="00000000" w:rsidDel="00000000" w:rsidP="00000000" w:rsidRDefault="00000000" w:rsidRPr="00000000" w14:paraId="00000023">
            <w:pPr>
              <w:numPr>
                <w:ilvl w:val="0"/>
                <w:numId w:val="1"/>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o Certificado de Cadeia de Custódia para produtos de madeira (FSC), emitido por certificador reconhecido nacional ou internacionalmente em nome do fabricante do mobiliário. Relatório de ensaio emitido por laboratório credenciado pelo INMETRO, do esforço de tração de 12000kgf na região da solda. </w:t>
            </w:r>
          </w:p>
          <w:p w:rsidR="00000000" w:rsidDel="00000000" w:rsidP="00000000" w:rsidRDefault="00000000" w:rsidRPr="00000000" w14:paraId="0000002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Devem ser eliminados respingos ou irregularidade de solda, rebarbas e arredondados os cantos agudos. Na parte posterior do encosto deverá conter a identificação do padrão dimensional, através de processo de tampografia, tamanho 35x37mm. Altura do assento ao chão 350mm.</w:t>
            </w:r>
          </w:p>
        </w:tc>
      </w:tr>
    </w:tbl>
    <w:p w:rsidR="00000000" w:rsidDel="00000000" w:rsidP="00000000" w:rsidRDefault="00000000" w:rsidRPr="00000000" w14:paraId="00000025">
      <w:pPr>
        <w:jc w:val="center"/>
        <w:rPr>
          <w:rFonts w:ascii="Calibri" w:cs="Calibri" w:eastAsia="Calibri" w:hAnsi="Calibri"/>
          <w:vertAlign w:val="baseline"/>
        </w:rPr>
      </w:pPr>
      <w:r w:rsidDel="00000000" w:rsidR="00000000" w:rsidRPr="00000000">
        <w:rPr>
          <w:rtl w:val="0"/>
        </w:rPr>
      </w:r>
    </w:p>
    <w:sectPr>
      <w:headerReference r:id="rId7" w:type="default"/>
      <w:footerReference r:id="rId8" w:type="default"/>
      <w:pgSz w:h="16838" w:w="11906" w:orient="portrait"/>
      <w:pgMar w:bottom="1135" w:top="170" w:left="1134" w:right="1134" w:header="709" w:footer="4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font w:name="Antique Oliv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2060"/>
        <w:sz w:val="24"/>
        <w:szCs w:val="24"/>
        <w:u w:val="none"/>
        <w:shd w:fill="auto" w:val="clear"/>
        <w:vertAlign w:val="baseline"/>
        <w:rtl w:val="0"/>
      </w:rPr>
      <w:t xml:space="preserve">Rua Benjamin Constant Teixeira, nº 1079, Centro – CEP 83450-000, Bocaiúva do Sul – Paraná</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2060"/>
        <w:sz w:val="24"/>
        <w:szCs w:val="24"/>
        <w:u w:val="none"/>
        <w:shd w:fill="auto" w:val="clear"/>
        <w:vertAlign w:val="baseline"/>
        <w:rtl w:val="0"/>
      </w:rPr>
      <w:t xml:space="preserve">(41) 3658-1055 / (41) 3658-2302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ntique Olive" w:cs="Antique Olive" w:eastAsia="Antique Olive" w:hAnsi="Antique Olive"/>
        <w:b w:val="0"/>
        <w:i w:val="0"/>
        <w:smallCaps w:val="0"/>
        <w:strike w:val="0"/>
        <w:color w:val="002060"/>
        <w:sz w:val="24"/>
        <w:szCs w:val="24"/>
        <w:u w:val="none"/>
        <w:shd w:fill="auto" w:val="clear"/>
        <w:vertAlign w:val="baseline"/>
        <w:rtl w:val="0"/>
      </w:rPr>
      <w:t xml:space="preserve">SECRETARIA MUNICIPAL DE EDUCAÇÃO E CULTURA       </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5008245</wp:posOffset>
          </wp:positionH>
          <wp:positionV relativeFrom="paragraph">
            <wp:posOffset>-349249</wp:posOffset>
          </wp:positionV>
          <wp:extent cx="864235" cy="891540"/>
          <wp:effectExtent b="0" l="0" r="0" t="0"/>
          <wp:wrapNone/>
          <wp:docPr id="1" name="image2.png"/>
          <a:graphic>
            <a:graphicData uri="http://schemas.openxmlformats.org/drawingml/2006/picture">
              <pic:pic>
                <pic:nvPicPr>
                  <pic:cNvPr id="0" name="image2.png"/>
                  <pic:cNvPicPr preferRelativeResize="0"/>
                </pic:nvPicPr>
                <pic:blipFill>
                  <a:blip r:embed="rId1"/>
                  <a:srcRect b="-41" l="-71" r="-71" t="-42"/>
                  <a:stretch>
                    <a:fillRect/>
                  </a:stretch>
                </pic:blipFill>
                <pic:spPr>
                  <a:xfrm>
                    <a:off x="0" y="0"/>
                    <a:ext cx="864235" cy="89154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250825</wp:posOffset>
          </wp:positionH>
          <wp:positionV relativeFrom="paragraph">
            <wp:posOffset>-300354</wp:posOffset>
          </wp:positionV>
          <wp:extent cx="692785" cy="842645"/>
          <wp:effectExtent b="0" l="0" r="0" t="0"/>
          <wp:wrapNone/>
          <wp:docPr id="2" name="image1.png"/>
          <a:graphic>
            <a:graphicData uri="http://schemas.openxmlformats.org/drawingml/2006/picture">
              <pic:pic>
                <pic:nvPicPr>
                  <pic:cNvPr id="0" name="image1.png"/>
                  <pic:cNvPicPr preferRelativeResize="0"/>
                </pic:nvPicPr>
                <pic:blipFill>
                  <a:blip r:embed="rId2"/>
                  <a:srcRect b="-121" l="-148" r="-147" t="-121"/>
                  <a:stretch>
                    <a:fillRect/>
                  </a:stretch>
                </pic:blipFill>
                <pic:spPr>
                  <a:xfrm>
                    <a:off x="0" y="0"/>
                    <a:ext cx="692785" cy="842645"/>
                  </a:xfrm>
                  <a:prstGeom prst="rect"/>
                  <a:ln/>
                </pic:spPr>
              </pic:pic>
            </a:graphicData>
          </a:graphic>
        </wp:anchor>
      </w:drawing>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left" w:pos="8565"/>
        <w:tab w:val="center" w:pos="9851"/>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ntique Olive" w:cs="Antique Olive" w:eastAsia="Antique Olive" w:hAnsi="Antique Olive"/>
        <w:color w:val="002060"/>
        <w:rtl w:val="0"/>
      </w:rPr>
      <w:t xml:space="preserve">BOCAIÚVA</w:t>
    </w:r>
    <w:r w:rsidDel="00000000" w:rsidR="00000000" w:rsidRPr="00000000">
      <w:rPr>
        <w:rFonts w:ascii="Antique Olive" w:cs="Antique Olive" w:eastAsia="Antique Olive" w:hAnsi="Antique Olive"/>
        <w:b w:val="0"/>
        <w:i w:val="0"/>
        <w:smallCaps w:val="0"/>
        <w:strike w:val="0"/>
        <w:color w:val="002060"/>
        <w:sz w:val="24"/>
        <w:szCs w:val="24"/>
        <w:u w:val="none"/>
        <w:shd w:fill="auto" w:val="clear"/>
        <w:vertAlign w:val="baseline"/>
        <w:rtl w:val="0"/>
      </w:rPr>
      <w:t xml:space="preserve"> DO SUL</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left" w:pos="8565"/>
        <w:tab w:val="center" w:pos="9851"/>
      </w:tabs>
      <w:spacing w:after="0" w:before="0" w:line="240" w:lineRule="auto"/>
      <w:ind w:left="0" w:right="0" w:firstLine="0"/>
      <w:jc w:val="center"/>
      <w:rPr>
        <w:rFonts w:ascii="Antique Olive" w:cs="Antique Olive" w:eastAsia="Antique Olive" w:hAnsi="Antique Olive"/>
        <w:b w:val="0"/>
        <w:i w:val="0"/>
        <w:smallCaps w:val="0"/>
        <w:strike w:val="0"/>
        <w:color w:val="00206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left" w:pos="8565"/>
        <w:tab w:val="center" w:pos="9851"/>
      </w:tabs>
      <w:spacing w:after="0" w:before="0" w:line="240" w:lineRule="auto"/>
      <w:ind w:left="0" w:right="0" w:firstLine="0"/>
      <w:jc w:val="center"/>
      <w:rPr>
        <w:rFonts w:ascii="Antique Olive" w:cs="Antique Olive" w:eastAsia="Antique Olive" w:hAnsi="Antique Olive"/>
        <w:b w:val="0"/>
        <w:i w:val="0"/>
        <w:smallCaps w:val="0"/>
        <w:strike w:val="0"/>
        <w:color w:val="00206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8"/>
      <w:numFmt w:val="bullet"/>
      <w:lvlText w:val="●"/>
      <w:lvlJc w:val="left"/>
      <w:pPr>
        <w:ind w:left="0" w:firstLine="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28"/>
      <w:numFmt w:val="bullet"/>
      <w:lvlText w:val="●"/>
      <w:lvlJc w:val="left"/>
      <w:pPr>
        <w:ind w:left="0" w:firstLine="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normal"/>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Fonteparág.padrão1">
    <w:name w:val="Fonte parág. padrão1"/>
    <w:next w:val="Fonteparág.padrão1"/>
    <w:autoRedefine w:val="0"/>
    <w:hidden w:val="0"/>
    <w:qFormat w:val="0"/>
    <w:rPr>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TextodebalãoChar">
    <w:name w:val="Texto de balão Char"/>
    <w:next w:val="TextodebalãoChar"/>
    <w:autoRedefine w:val="0"/>
    <w:hidden w:val="0"/>
    <w:qFormat w:val="0"/>
    <w:rPr>
      <w:rFonts w:ascii="Tahoma" w:cs="Tahoma" w:eastAsia="Times New Roman" w:hAnsi="Tahoma"/>
      <w:w w:val="100"/>
      <w:position w:val="-1"/>
      <w:sz w:val="16"/>
      <w:szCs w:val="16"/>
      <w:effect w:val="none"/>
      <w:vertAlign w:val="baseline"/>
      <w:cs w:val="0"/>
      <w:em w:val="none"/>
      <w:lang/>
    </w:rPr>
  </w:style>
  <w:style w:type="character" w:styleId="CabeçalhoChar">
    <w:name w:val="Cabeçalho Char"/>
    <w:next w:val="CabeçalhoChar"/>
    <w:autoRedefine w:val="0"/>
    <w:hidden w:val="0"/>
    <w:qFormat w:val="0"/>
    <w:rPr>
      <w:rFonts w:ascii="Times New Roman" w:cs="Times New Roman" w:eastAsia="Times New Roman" w:hAnsi="Times New Roman"/>
      <w:w w:val="100"/>
      <w:position w:val="-1"/>
      <w:sz w:val="24"/>
      <w:szCs w:val="24"/>
      <w:effect w:val="none"/>
      <w:vertAlign w:val="baseline"/>
      <w:cs w:val="0"/>
      <w:em w:val="none"/>
      <w:lang/>
    </w:rPr>
  </w:style>
  <w:style w:type="character" w:styleId="RodapéChar">
    <w:name w:val="Rodapé Char"/>
    <w:next w:val="RodapéChar"/>
    <w:autoRedefine w:val="0"/>
    <w:hidden w:val="0"/>
    <w:qFormat w:val="0"/>
    <w:rPr>
      <w:rFonts w:ascii="Times New Roman" w:cs="Times New Roman" w:eastAsia="Times New Roman" w:hAnsi="Times New Roman"/>
      <w:w w:val="100"/>
      <w:position w:val="-1"/>
      <w:sz w:val="24"/>
      <w:szCs w:val="24"/>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paragraph" w:styleId="Título1">
    <w:name w:val="Título1"/>
    <w:basedOn w:val="Normal"/>
    <w:next w:val="Corpodetexto"/>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kern w:val="2"/>
      <w:position w:val="-1"/>
      <w:sz w:val="28"/>
      <w:szCs w:val="28"/>
      <w:effect w:val="none"/>
      <w:vertAlign w:val="baseline"/>
      <w:cs w:val="0"/>
      <w:em w:val="none"/>
      <w:lang w:bidi="ar-SA" w:eastAsia="zh-CN" w:val="pt-BR"/>
    </w:rPr>
  </w:style>
  <w:style w:type="paragraph" w:styleId="Corpodetexto">
    <w:name w:val="Corpo de texto"/>
    <w:basedOn w:val="Normal"/>
    <w:next w:val="Corpodetexto"/>
    <w:autoRedefine w:val="0"/>
    <w:hidden w:val="0"/>
    <w:qFormat w:val="0"/>
    <w:pPr>
      <w:suppressAutoHyphens w:val="0"/>
      <w:spacing w:after="140" w:before="0" w:line="276" w:lineRule="auto"/>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Lista">
    <w:name w:val="Lista"/>
    <w:basedOn w:val="Corpodetexto"/>
    <w:next w:val="Lista"/>
    <w:autoRedefine w:val="0"/>
    <w:hidden w:val="0"/>
    <w:qFormat w:val="0"/>
    <w:pPr>
      <w:suppressAutoHyphens w:val="0"/>
      <w:spacing w:after="140" w:before="0" w:line="276" w:lineRule="auto"/>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Legenda">
    <w:name w:val="Legenda"/>
    <w:basedOn w:val="Normal"/>
    <w:next w:val="Legenda"/>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2"/>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Textodebalão">
    <w:name w:val="Texto de balão"/>
    <w:basedOn w:val="Normal"/>
    <w:next w:val="Textodebalão"/>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kern w:val="2"/>
      <w:position w:val="-1"/>
      <w:sz w:val="16"/>
      <w:szCs w:val="16"/>
      <w:effect w:val="none"/>
      <w:vertAlign w:val="baseline"/>
      <w:cs w:val="0"/>
      <w:em w:val="none"/>
      <w:lang w:bidi="ar-SA" w:eastAsia="zh-CN" w:val="pt-BR"/>
    </w:rPr>
  </w:style>
  <w:style w:type="paragraph" w:styleId="Cabeçalho">
    <w:name w:val="Cabeçalho"/>
    <w:basedOn w:val="Normal"/>
    <w:next w:val="Cabeçalho"/>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Rodapé">
    <w:name w:val="Rodapé"/>
    <w:basedOn w:val="Normal"/>
    <w:next w:val="Rodapé"/>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x_ydp59f43412msonormal">
    <w:name w:val="x_ydp59f43412msonormal"/>
    <w:basedOn w:val="Normal"/>
    <w:next w:val="x_ydp59f43412msonormal"/>
    <w:autoRedefine w:val="0"/>
    <w:hidden w:val="0"/>
    <w:qFormat w:val="0"/>
    <w:pPr>
      <w:suppressAutoHyphens w:val="0"/>
      <w:spacing w:after="280" w:before="280"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1">
    <w:name w:val="Tabela com grade1"/>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2">
    <w:name w:val="Tabela com grade2"/>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2"/>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3">
    <w:name w:val="Tabela com grade3"/>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3"/>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4">
    <w:name w:val="Tabela com grade4"/>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4"/>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HiperlinkVisitado">
    <w:name w:val="HiperlinkVisitado"/>
    <w:next w:val="HiperlinkVisitado"/>
    <w:autoRedefine w:val="0"/>
    <w:hidden w:val="0"/>
    <w:qFormat w:val="1"/>
    <w:rPr>
      <w:color w:val="800080"/>
      <w:w w:val="100"/>
      <w:position w:val="-1"/>
      <w:u w:val="single"/>
      <w:effect w:val="none"/>
      <w:vertAlign w:val="baseline"/>
      <w:cs w:val="0"/>
      <w:em w:val="none"/>
      <w:lang/>
    </w:rPr>
  </w:style>
  <w:style w:type="paragraph" w:styleId="msonormal">
    <w:name w:val="msonormal"/>
    <w:basedOn w:val="Normal"/>
    <w:next w:val="msonormal"/>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font5">
    <w:name w:val="font5"/>
    <w:basedOn w:val="Normal"/>
    <w:next w:val="font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b w:val="1"/>
      <w:bCs w:val="1"/>
      <w:w w:val="100"/>
      <w:kern w:val="0"/>
      <w:position w:val="-1"/>
      <w:sz w:val="20"/>
      <w:szCs w:val="20"/>
      <w:effect w:val="none"/>
      <w:vertAlign w:val="baseline"/>
      <w:cs w:val="0"/>
      <w:em w:val="none"/>
      <w:lang w:bidi="ar-SA" w:eastAsia="zh-CN" w:val="pt-BR"/>
    </w:rPr>
  </w:style>
  <w:style w:type="paragraph" w:styleId="xl68">
    <w:name w:val="xl68"/>
    <w:basedOn w:val="Normal"/>
    <w:next w:val="xl68"/>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69">
    <w:name w:val="xl69"/>
    <w:basedOn w:val="Normal"/>
    <w:next w:val="xl6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0">
    <w:name w:val="xl70"/>
    <w:basedOn w:val="Normal"/>
    <w:next w:val="xl7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1">
    <w:name w:val="xl71"/>
    <w:basedOn w:val="Normal"/>
    <w:next w:val="xl71"/>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2">
    <w:name w:val="xl72"/>
    <w:basedOn w:val="Normal"/>
    <w:next w:val="xl72"/>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3">
    <w:name w:val="xl73"/>
    <w:basedOn w:val="Normal"/>
    <w:next w:val="xl73"/>
    <w:autoRedefine w:val="0"/>
    <w:hidden w:val="0"/>
    <w:qFormat w:val="0"/>
    <w:pPr>
      <w:pBdr>
        <w:top w:color="auto" w:space="0" w:sz="4" w:val="single"/>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4">
    <w:name w:val="xl74"/>
    <w:basedOn w:val="Normal"/>
    <w:next w:val="xl74"/>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5">
    <w:name w:val="xl75"/>
    <w:basedOn w:val="Normal"/>
    <w:next w:val="xl75"/>
    <w:autoRedefine w:val="0"/>
    <w:hidden w:val="0"/>
    <w:qFormat w:val="0"/>
    <w:pP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76">
    <w:name w:val="xl76"/>
    <w:basedOn w:val="Normal"/>
    <w:next w:val="xl7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77">
    <w:name w:val="xl77"/>
    <w:basedOn w:val="Normal"/>
    <w:next w:val="xl77"/>
    <w:autoRedefine w:val="0"/>
    <w:hidden w:val="0"/>
    <w:qFormat w:val="0"/>
    <w:pPr>
      <w:pBdr>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8">
    <w:name w:val="xl78"/>
    <w:basedOn w:val="Normal"/>
    <w:next w:val="xl78"/>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9">
    <w:name w:val="xl79"/>
    <w:basedOn w:val="Normal"/>
    <w:next w:val="xl79"/>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0">
    <w:name w:val="xl80"/>
    <w:basedOn w:val="Normal"/>
    <w:next w:val="xl80"/>
    <w:autoRedefine w:val="0"/>
    <w:hidden w:val="0"/>
    <w:qFormat w:val="0"/>
    <w:pPr>
      <w:pBdr>
        <w:bottom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1">
    <w:name w:val="xl81"/>
    <w:basedOn w:val="Normal"/>
    <w:next w:val="xl81"/>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2">
    <w:name w:val="xl82"/>
    <w:basedOn w:val="Normal"/>
    <w:next w:val="xl82"/>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3">
    <w:name w:val="xl83"/>
    <w:basedOn w:val="Normal"/>
    <w:next w:val="xl83"/>
    <w:autoRedefine w:val="0"/>
    <w:hidden w:val="0"/>
    <w:qFormat w:val="0"/>
    <w:pPr>
      <w:pBdr>
        <w:top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4">
    <w:name w:val="xl84"/>
    <w:basedOn w:val="Normal"/>
    <w:next w:val="xl84"/>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5">
    <w:name w:val="xl85"/>
    <w:basedOn w:val="Normal"/>
    <w:next w:val="xl85"/>
    <w:autoRedefine w:val="0"/>
    <w:hidden w:val="0"/>
    <w:qFormat w:val="0"/>
    <w:pPr>
      <w:pBdr>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6">
    <w:name w:val="xl86"/>
    <w:basedOn w:val="Normal"/>
    <w:next w:val="xl8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7">
    <w:name w:val="xl87"/>
    <w:basedOn w:val="Normal"/>
    <w:next w:val="xl87"/>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8">
    <w:name w:val="xl88"/>
    <w:basedOn w:val="Normal"/>
    <w:next w:val="xl88"/>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9">
    <w:name w:val="xl89"/>
    <w:basedOn w:val="Normal"/>
    <w:next w:val="xl89"/>
    <w:autoRedefine w:val="0"/>
    <w:hidden w:val="0"/>
    <w:qFormat w:val="0"/>
    <w:pPr>
      <w:pBdr>
        <w:top w:color="auto" w:space="0" w:sz="4" w:val="single"/>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0">
    <w:name w:val="xl90"/>
    <w:basedOn w:val="Normal"/>
    <w:next w:val="xl9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1">
    <w:name w:val="xl91"/>
    <w:basedOn w:val="Normal"/>
    <w:next w:val="xl91"/>
    <w:autoRedefine w:val="0"/>
    <w:hidden w:val="0"/>
    <w:qFormat w:val="0"/>
    <w:pPr>
      <w:pBdr>
        <w:top w:color="auto" w:space="0" w:sz="4" w:val="single"/>
        <w:left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2">
    <w:name w:val="xl92"/>
    <w:basedOn w:val="Normal"/>
    <w:next w:val="xl92"/>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93">
    <w:name w:val="xl93"/>
    <w:basedOn w:val="Normal"/>
    <w:next w:val="xl93"/>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4">
    <w:name w:val="xl94"/>
    <w:basedOn w:val="Normal"/>
    <w:next w:val="xl94"/>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both"/>
      <w:textDirection w:val="btLr"/>
      <w:textAlignment w:val="top"/>
      <w:outlineLvl w:val="0"/>
    </w:pPr>
    <w:rPr>
      <w:color w:val="000000"/>
      <w:w w:val="100"/>
      <w:kern w:val="0"/>
      <w:position w:val="-1"/>
      <w:sz w:val="24"/>
      <w:szCs w:val="24"/>
      <w:effect w:val="none"/>
      <w:vertAlign w:val="baseline"/>
      <w:cs w:val="0"/>
      <w:em w:val="none"/>
      <w:lang w:bidi="ar-SA" w:eastAsia="zh-CN" w:val="pt-BR"/>
    </w:rPr>
  </w:style>
  <w:style w:type="paragraph" w:styleId="xl95">
    <w:name w:val="xl95"/>
    <w:basedOn w:val="Normal"/>
    <w:next w:val="xl95"/>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6">
    <w:name w:val="xl96"/>
    <w:basedOn w:val="Normal"/>
    <w:next w:val="xl9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7">
    <w:name w:val="xl97"/>
    <w:basedOn w:val="Normal"/>
    <w:next w:val="xl97"/>
    <w:autoRedefine w:val="0"/>
    <w:hidden w:val="0"/>
    <w:qFormat w:val="0"/>
    <w:pPr>
      <w:pBdr>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8">
    <w:name w:val="xl98"/>
    <w:basedOn w:val="Normal"/>
    <w:next w:val="xl98"/>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99">
    <w:name w:val="xl99"/>
    <w:basedOn w:val="Normal"/>
    <w:next w:val="xl99"/>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0">
    <w:name w:val="xl100"/>
    <w:basedOn w:val="Normal"/>
    <w:next w:val="xl10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1">
    <w:name w:val="xl101"/>
    <w:basedOn w:val="Normal"/>
    <w:next w:val="xl101"/>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2">
    <w:name w:val="xl102"/>
    <w:basedOn w:val="Normal"/>
    <w:next w:val="xl102"/>
    <w:autoRedefine w:val="0"/>
    <w:hidden w:val="0"/>
    <w:qFormat w:val="0"/>
    <w:pP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3">
    <w:name w:val="xl103"/>
    <w:basedOn w:val="Normal"/>
    <w:next w:val="xl103"/>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04">
    <w:name w:val="xl104"/>
    <w:basedOn w:val="Normal"/>
    <w:next w:val="xl104"/>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5">
    <w:name w:val="xl105"/>
    <w:basedOn w:val="Normal"/>
    <w:next w:val="xl105"/>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6">
    <w:name w:val="xl106"/>
    <w:basedOn w:val="Normal"/>
    <w:next w:val="xl106"/>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7">
    <w:name w:val="xl107"/>
    <w:basedOn w:val="Normal"/>
    <w:next w:val="xl107"/>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08">
    <w:name w:val="xl108"/>
    <w:basedOn w:val="Normal"/>
    <w:next w:val="xl108"/>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09">
    <w:name w:val="xl109"/>
    <w:basedOn w:val="Normal"/>
    <w:next w:val="xl109"/>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0">
    <w:name w:val="xl110"/>
    <w:basedOn w:val="Normal"/>
    <w:next w:val="xl110"/>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1">
    <w:name w:val="xl111"/>
    <w:basedOn w:val="Normal"/>
    <w:next w:val="xl111"/>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2">
    <w:name w:val="xl112"/>
    <w:basedOn w:val="Normal"/>
    <w:next w:val="xl112"/>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3">
    <w:name w:val="xl113"/>
    <w:basedOn w:val="Normal"/>
    <w:next w:val="xl113"/>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4">
    <w:name w:val="xl114"/>
    <w:basedOn w:val="Normal"/>
    <w:next w:val="xl114"/>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5">
    <w:name w:val="xl115"/>
    <w:basedOn w:val="Normal"/>
    <w:next w:val="xl115"/>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6">
    <w:name w:val="xl116"/>
    <w:basedOn w:val="Normal"/>
    <w:next w:val="xl116"/>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7">
    <w:name w:val="xl117"/>
    <w:basedOn w:val="Normal"/>
    <w:next w:val="xl117"/>
    <w:autoRedefine w:val="0"/>
    <w:hidden w:val="0"/>
    <w:qFormat w:val="0"/>
    <w:pPr>
      <w:pBdr>
        <w:top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8">
    <w:name w:val="xl118"/>
    <w:basedOn w:val="Normal"/>
    <w:next w:val="xl118"/>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9">
    <w:name w:val="xl119"/>
    <w:basedOn w:val="Normal"/>
    <w:next w:val="xl119"/>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0">
    <w:name w:val="xl120"/>
    <w:basedOn w:val="Normal"/>
    <w:next w:val="xl120"/>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1">
    <w:name w:val="xl121"/>
    <w:basedOn w:val="Normal"/>
    <w:next w:val="xl121"/>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2">
    <w:name w:val="xl122"/>
    <w:basedOn w:val="Normal"/>
    <w:next w:val="xl122"/>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3">
    <w:name w:val="xl123"/>
    <w:basedOn w:val="Normal"/>
    <w:next w:val="xl123"/>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4">
    <w:name w:val="xl124"/>
    <w:basedOn w:val="Normal"/>
    <w:next w:val="xl124"/>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5">
    <w:name w:val="xl125"/>
    <w:basedOn w:val="Normal"/>
    <w:next w:val="xl125"/>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6">
    <w:name w:val="xl126"/>
    <w:basedOn w:val="Normal"/>
    <w:next w:val="xl126"/>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7">
    <w:name w:val="xl127"/>
    <w:basedOn w:val="Normal"/>
    <w:next w:val="xl127"/>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8">
    <w:name w:val="xl128"/>
    <w:basedOn w:val="Normal"/>
    <w:next w:val="xl128"/>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29">
    <w:name w:val="xl129"/>
    <w:basedOn w:val="Normal"/>
    <w:next w:val="xl129"/>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0">
    <w:name w:val="xl130"/>
    <w:basedOn w:val="Normal"/>
    <w:next w:val="xl130"/>
    <w:autoRedefine w:val="0"/>
    <w:hidden w:val="0"/>
    <w:qFormat w:val="0"/>
    <w:pPr>
      <w:pBdr>
        <w:top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1">
    <w:name w:val="xl131"/>
    <w:basedOn w:val="Normal"/>
    <w:next w:val="xl131"/>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2">
    <w:name w:val="xl132"/>
    <w:basedOn w:val="Normal"/>
    <w:next w:val="xl132"/>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33">
    <w:name w:val="xl133"/>
    <w:basedOn w:val="Normal"/>
    <w:next w:val="xl133"/>
    <w:autoRedefine w:val="0"/>
    <w:hidden w:val="0"/>
    <w:qFormat w:val="0"/>
    <w:pPr>
      <w:pBdr>
        <w:top w:color="auto" w:space="0" w:sz="4" w:val="single"/>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134">
    <w:name w:val="xl134"/>
    <w:basedOn w:val="Normal"/>
    <w:next w:val="xl134"/>
    <w:autoRedefine w:val="0"/>
    <w:hidden w:val="0"/>
    <w:qFormat w:val="0"/>
    <w:pPr>
      <w:pBdr>
        <w:top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135">
    <w:name w:val="xl135"/>
    <w:basedOn w:val="Normal"/>
    <w:next w:val="xl135"/>
    <w:autoRedefine w:val="0"/>
    <w:hidden w:val="0"/>
    <w:qFormat w:val="0"/>
    <w:pPr>
      <w:pBdr>
        <w:top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NOaktgbK6AoyD0cYjUA+UztP1g==">AMUW2mU/+MOjqwRdZFmQCzkhkaTVDl3z/demmylOOTySB/cKA6cGDPrFB9flEXn4C5gBBtELkF76LMSd651O4IP9xhvROQmEZLBn+7+lYCEj2rKs8aFhk0Z0FGwUE9lVl4G7457T7jqE0PmQGvrpM6SJPIr46XWLng==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2022-10-24T19:11:00Z</dcterms:created>
  <dc:creator>PC</dc:creator>
</cp:coreProperties>
</file>